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F6" w:rsidRPr="005740F6" w:rsidRDefault="005740F6" w:rsidP="005740F6">
      <w:pPr>
        <w:jc w:val="center"/>
        <w:rPr>
          <w:b/>
        </w:rPr>
      </w:pPr>
      <w:r>
        <w:rPr>
          <w:b/>
        </w:rPr>
        <w:t>Proposed PZC toolkit contents and outline*</w:t>
      </w:r>
    </w:p>
    <w:p w:rsidR="00445C37" w:rsidRDefault="00445C37" w:rsidP="005740F6">
      <w:pPr>
        <w:pStyle w:val="ListParagraph"/>
        <w:numPr>
          <w:ilvl w:val="0"/>
          <w:numId w:val="1"/>
        </w:numPr>
        <w:ind w:left="360"/>
      </w:pPr>
      <w:r>
        <w:t>Front cover</w:t>
      </w:r>
    </w:p>
    <w:p w:rsidR="005740F6" w:rsidRDefault="005740F6" w:rsidP="005740F6">
      <w:pPr>
        <w:pStyle w:val="ListParagraph"/>
        <w:numPr>
          <w:ilvl w:val="0"/>
          <w:numId w:val="1"/>
        </w:numPr>
        <w:ind w:left="360"/>
      </w:pPr>
      <w:r>
        <w:t>Inside cover</w:t>
      </w:r>
    </w:p>
    <w:p w:rsidR="00445C37" w:rsidRDefault="00445C37" w:rsidP="005740F6">
      <w:pPr>
        <w:pStyle w:val="ListParagraph"/>
        <w:numPr>
          <w:ilvl w:val="0"/>
          <w:numId w:val="1"/>
        </w:numPr>
        <w:ind w:left="360"/>
      </w:pPr>
      <w:r>
        <w:t xml:space="preserve">Acknowledgements </w:t>
      </w:r>
      <w:r w:rsidR="005740F6">
        <w:t>and Credits</w:t>
      </w:r>
    </w:p>
    <w:p w:rsidR="002C4975" w:rsidRDefault="002C4975" w:rsidP="002C4975">
      <w:pPr>
        <w:pStyle w:val="ListParagraph"/>
        <w:numPr>
          <w:ilvl w:val="1"/>
          <w:numId w:val="1"/>
        </w:numPr>
        <w:sectPr w:rsidR="002C4975" w:rsidSect="002C4975">
          <w:pgSz w:w="12240" w:h="15840"/>
          <w:pgMar w:top="720" w:right="1440" w:bottom="540" w:left="1440" w:header="720" w:footer="720" w:gutter="0"/>
          <w:cols w:space="720"/>
          <w:docGrid w:linePitch="360"/>
        </w:sectPr>
      </w:pPr>
    </w:p>
    <w:p w:rsidR="002C4975" w:rsidRDefault="002C4975" w:rsidP="002C4975">
      <w:pPr>
        <w:pStyle w:val="ListParagraph"/>
        <w:numPr>
          <w:ilvl w:val="1"/>
          <w:numId w:val="1"/>
        </w:numPr>
      </w:pPr>
      <w:r>
        <w:lastRenderedPageBreak/>
        <w:t>Coalition members/partners</w:t>
      </w:r>
    </w:p>
    <w:p w:rsidR="002C4975" w:rsidRDefault="002C4975" w:rsidP="002C4975">
      <w:pPr>
        <w:pStyle w:val="ListParagraph"/>
        <w:numPr>
          <w:ilvl w:val="1"/>
          <w:numId w:val="1"/>
        </w:numPr>
      </w:pPr>
      <w:r>
        <w:t>Funders</w:t>
      </w:r>
    </w:p>
    <w:p w:rsidR="002C4975" w:rsidRDefault="002C4975" w:rsidP="002C4975">
      <w:pPr>
        <w:pStyle w:val="ListParagraph"/>
        <w:numPr>
          <w:ilvl w:val="1"/>
          <w:numId w:val="1"/>
        </w:numPr>
      </w:pPr>
      <w:r>
        <w:t>Authors</w:t>
      </w:r>
    </w:p>
    <w:p w:rsidR="002C4975" w:rsidRDefault="002C4975" w:rsidP="002C4975">
      <w:pPr>
        <w:pStyle w:val="ListParagraph"/>
        <w:numPr>
          <w:ilvl w:val="1"/>
          <w:numId w:val="1"/>
        </w:numPr>
      </w:pPr>
      <w:r>
        <w:t>Content expert consultant</w:t>
      </w:r>
    </w:p>
    <w:p w:rsidR="002C4975" w:rsidRDefault="002C4975" w:rsidP="002C4975">
      <w:pPr>
        <w:pStyle w:val="ListParagraph"/>
        <w:numPr>
          <w:ilvl w:val="1"/>
          <w:numId w:val="1"/>
        </w:numPr>
      </w:pPr>
      <w:r>
        <w:lastRenderedPageBreak/>
        <w:t>Graphic design</w:t>
      </w:r>
    </w:p>
    <w:p w:rsidR="002C4975" w:rsidRDefault="002C4975" w:rsidP="002C4975">
      <w:pPr>
        <w:pStyle w:val="ListParagraph"/>
        <w:numPr>
          <w:ilvl w:val="1"/>
          <w:numId w:val="1"/>
        </w:numPr>
      </w:pPr>
      <w:r>
        <w:t>Photography</w:t>
      </w:r>
    </w:p>
    <w:p w:rsidR="002C4975" w:rsidRDefault="002C4975" w:rsidP="002C4975">
      <w:pPr>
        <w:pStyle w:val="ListParagraph"/>
        <w:numPr>
          <w:ilvl w:val="1"/>
          <w:numId w:val="1"/>
        </w:numPr>
      </w:pPr>
      <w:r>
        <w:t>Etc.</w:t>
      </w:r>
    </w:p>
    <w:p w:rsidR="002C4975" w:rsidRDefault="002C4975" w:rsidP="005740F6">
      <w:pPr>
        <w:pStyle w:val="ListParagraph"/>
        <w:numPr>
          <w:ilvl w:val="0"/>
          <w:numId w:val="1"/>
        </w:numPr>
        <w:ind w:left="360"/>
        <w:sectPr w:rsidR="002C4975" w:rsidSect="002C4975">
          <w:type w:val="continuous"/>
          <w:pgSz w:w="12240" w:h="15840"/>
          <w:pgMar w:top="720" w:right="1440" w:bottom="540" w:left="1440" w:header="720" w:footer="720" w:gutter="0"/>
          <w:cols w:num="2" w:space="720"/>
          <w:docGrid w:linePitch="360"/>
        </w:sectPr>
      </w:pPr>
    </w:p>
    <w:p w:rsidR="00445C37" w:rsidRDefault="00445C37" w:rsidP="005740F6">
      <w:pPr>
        <w:pStyle w:val="ListParagraph"/>
        <w:numPr>
          <w:ilvl w:val="0"/>
          <w:numId w:val="1"/>
        </w:numPr>
        <w:ind w:left="360"/>
      </w:pPr>
      <w:r>
        <w:lastRenderedPageBreak/>
        <w:t xml:space="preserve">Table of Contents </w:t>
      </w:r>
    </w:p>
    <w:p w:rsidR="00445C37" w:rsidRDefault="00AA4380" w:rsidP="005740F6">
      <w:pPr>
        <w:pStyle w:val="ListParagraph"/>
        <w:numPr>
          <w:ilvl w:val="0"/>
          <w:numId w:val="1"/>
        </w:numPr>
        <w:ind w:left="360"/>
      </w:pPr>
      <w:r>
        <w:t>Welcome letter</w:t>
      </w:r>
    </w:p>
    <w:p w:rsidR="00445C37" w:rsidRDefault="00445C37" w:rsidP="005740F6">
      <w:pPr>
        <w:pStyle w:val="ListParagraph"/>
        <w:numPr>
          <w:ilvl w:val="0"/>
          <w:numId w:val="1"/>
        </w:numPr>
        <w:ind w:left="360"/>
      </w:pPr>
      <w:r>
        <w:t>Legend of symbols and colors used throughout the toolkit</w:t>
      </w:r>
    </w:p>
    <w:p w:rsidR="00AA4380" w:rsidRDefault="00445C37" w:rsidP="005740F6">
      <w:pPr>
        <w:pStyle w:val="ListParagraph"/>
        <w:numPr>
          <w:ilvl w:val="0"/>
          <w:numId w:val="1"/>
        </w:numPr>
        <w:ind w:left="360"/>
      </w:pPr>
      <w:r>
        <w:t xml:space="preserve">So you </w:t>
      </w:r>
      <w:proofErr w:type="spellStart"/>
      <w:r>
        <w:t>wanna</w:t>
      </w:r>
      <w:proofErr w:type="spellEnd"/>
      <w:r>
        <w:t xml:space="preserve"> be a Planning and Zoning Commissioner? PZC 101</w:t>
      </w:r>
    </w:p>
    <w:p w:rsidR="00445C37" w:rsidRDefault="00445C37" w:rsidP="005740F6">
      <w:pPr>
        <w:pStyle w:val="ListParagraph"/>
        <w:numPr>
          <w:ilvl w:val="1"/>
          <w:numId w:val="1"/>
        </w:numPr>
      </w:pPr>
      <w:r>
        <w:t>Overview of Planning and Zoning Commission roles, responsibilities, and opportunities for influencing the overall quality of life of local residents through the planning of livable and vibrant communities.</w:t>
      </w:r>
    </w:p>
    <w:p w:rsidR="00AA4380" w:rsidRDefault="00AA4380" w:rsidP="005740F6">
      <w:pPr>
        <w:pStyle w:val="ListParagraph"/>
        <w:numPr>
          <w:ilvl w:val="1"/>
          <w:numId w:val="1"/>
        </w:numPr>
      </w:pPr>
      <w:r>
        <w:t>Agenda-setting</w:t>
      </w:r>
    </w:p>
    <w:p w:rsidR="00AA4380" w:rsidRDefault="00AA4380" w:rsidP="005740F6">
      <w:pPr>
        <w:pStyle w:val="ListParagraph"/>
        <w:numPr>
          <w:ilvl w:val="1"/>
          <w:numId w:val="1"/>
        </w:numPr>
      </w:pPr>
      <w:r>
        <w:t>How to prepare for a meeting</w:t>
      </w:r>
    </w:p>
    <w:p w:rsidR="00AA4380" w:rsidRDefault="00AA4380" w:rsidP="005740F6">
      <w:pPr>
        <w:pStyle w:val="ListParagraph"/>
        <w:numPr>
          <w:ilvl w:val="1"/>
          <w:numId w:val="1"/>
        </w:numPr>
      </w:pPr>
      <w:r>
        <w:t>Roberts Rules of Order</w:t>
      </w:r>
    </w:p>
    <w:p w:rsidR="00AA4380" w:rsidRDefault="00AA4380" w:rsidP="005740F6">
      <w:pPr>
        <w:pStyle w:val="ListParagraph"/>
        <w:numPr>
          <w:ilvl w:val="1"/>
          <w:numId w:val="1"/>
        </w:numPr>
      </w:pPr>
      <w:r>
        <w:t>When to abstain from a vote</w:t>
      </w:r>
    </w:p>
    <w:p w:rsidR="00AA4380" w:rsidRDefault="00AA4380" w:rsidP="005740F6">
      <w:pPr>
        <w:pStyle w:val="ListParagraph"/>
        <w:numPr>
          <w:ilvl w:val="1"/>
          <w:numId w:val="1"/>
        </w:numPr>
      </w:pPr>
      <w:r>
        <w:t>Legal considerations</w:t>
      </w:r>
    </w:p>
    <w:p w:rsidR="00445C37" w:rsidRDefault="00445C37" w:rsidP="005740F6">
      <w:pPr>
        <w:pStyle w:val="ListParagraph"/>
        <w:numPr>
          <w:ilvl w:val="1"/>
          <w:numId w:val="1"/>
        </w:numPr>
      </w:pPr>
      <w:r>
        <w:t>Key concepts  to learn more about</w:t>
      </w:r>
    </w:p>
    <w:p w:rsidR="00445C37" w:rsidRDefault="00445C37" w:rsidP="005740F6">
      <w:pPr>
        <w:pStyle w:val="ListParagraph"/>
        <w:numPr>
          <w:ilvl w:val="1"/>
          <w:numId w:val="1"/>
        </w:numPr>
      </w:pPr>
      <w:r>
        <w:t>Local training opportunities</w:t>
      </w:r>
    </w:p>
    <w:p w:rsidR="00AA4380" w:rsidRDefault="00AA4380" w:rsidP="005740F6">
      <w:pPr>
        <w:pStyle w:val="ListParagraph"/>
        <w:numPr>
          <w:ilvl w:val="1"/>
          <w:numId w:val="1"/>
        </w:numPr>
      </w:pPr>
      <w:r>
        <w:t>(Anything else we may borrow from CCAPA’s PZC 101 guidebook!)</w:t>
      </w:r>
    </w:p>
    <w:p w:rsidR="00AA4380" w:rsidRDefault="00AA4380" w:rsidP="005740F6">
      <w:pPr>
        <w:pStyle w:val="ListParagraph"/>
        <w:numPr>
          <w:ilvl w:val="0"/>
          <w:numId w:val="1"/>
        </w:numPr>
        <w:ind w:left="360"/>
      </w:pPr>
      <w:r>
        <w:t>Issues of importance</w:t>
      </w:r>
      <w:r w:rsidR="00445C37">
        <w:t xml:space="preserve"> for our local towns</w:t>
      </w:r>
    </w:p>
    <w:p w:rsidR="00445C37" w:rsidRDefault="00445C37" w:rsidP="005740F6">
      <w:pPr>
        <w:pStyle w:val="ListParagraph"/>
        <w:numPr>
          <w:ilvl w:val="1"/>
          <w:numId w:val="1"/>
        </w:numPr>
      </w:pPr>
      <w:r>
        <w:t>Supporting our Plan of Conservation and Development</w:t>
      </w:r>
    </w:p>
    <w:p w:rsidR="00AA4380" w:rsidRDefault="00AA4380" w:rsidP="005740F6">
      <w:pPr>
        <w:pStyle w:val="ListParagraph"/>
        <w:numPr>
          <w:ilvl w:val="1"/>
          <w:numId w:val="1"/>
        </w:numPr>
      </w:pPr>
      <w:r>
        <w:t>Preserving our towns’ rural character</w:t>
      </w:r>
    </w:p>
    <w:p w:rsidR="008D101B" w:rsidRDefault="008D101B" w:rsidP="005740F6">
      <w:pPr>
        <w:pStyle w:val="ListParagraph"/>
        <w:numPr>
          <w:ilvl w:val="1"/>
          <w:numId w:val="1"/>
        </w:numPr>
      </w:pPr>
      <w:r>
        <w:t>Protecting our natural resources</w:t>
      </w:r>
    </w:p>
    <w:p w:rsidR="00AA4380" w:rsidRDefault="00AA4380" w:rsidP="005740F6">
      <w:pPr>
        <w:pStyle w:val="ListParagraph"/>
        <w:numPr>
          <w:ilvl w:val="1"/>
          <w:numId w:val="1"/>
        </w:numPr>
      </w:pPr>
      <w:r>
        <w:t>Engaging in smart growth</w:t>
      </w:r>
    </w:p>
    <w:p w:rsidR="00E201A5" w:rsidRDefault="00E201A5" w:rsidP="005740F6">
      <w:pPr>
        <w:pStyle w:val="ListParagraph"/>
        <w:numPr>
          <w:ilvl w:val="1"/>
          <w:numId w:val="1"/>
        </w:numPr>
      </w:pPr>
      <w:r>
        <w:t>The business case for healthy design</w:t>
      </w:r>
    </w:p>
    <w:p w:rsidR="00E201A5" w:rsidRDefault="00E201A5" w:rsidP="005740F6">
      <w:pPr>
        <w:pStyle w:val="ListParagraph"/>
        <w:numPr>
          <w:ilvl w:val="2"/>
          <w:numId w:val="1"/>
        </w:numPr>
      </w:pPr>
      <w:r>
        <w:t>Healthy eating</w:t>
      </w:r>
    </w:p>
    <w:p w:rsidR="00E201A5" w:rsidRDefault="00E201A5" w:rsidP="005740F6">
      <w:pPr>
        <w:pStyle w:val="ListParagraph"/>
        <w:numPr>
          <w:ilvl w:val="2"/>
          <w:numId w:val="1"/>
        </w:numPr>
      </w:pPr>
      <w:r>
        <w:t>Active living</w:t>
      </w:r>
    </w:p>
    <w:p w:rsidR="00E201A5" w:rsidRDefault="00E201A5" w:rsidP="005740F6">
      <w:pPr>
        <w:pStyle w:val="ListParagraph"/>
        <w:numPr>
          <w:ilvl w:val="2"/>
          <w:numId w:val="1"/>
        </w:numPr>
      </w:pPr>
      <w:proofErr w:type="spellStart"/>
      <w:r>
        <w:t>Placemaking</w:t>
      </w:r>
      <w:proofErr w:type="spellEnd"/>
      <w:r>
        <w:t xml:space="preserve"> and social connectedness</w:t>
      </w:r>
    </w:p>
    <w:p w:rsidR="00E201A5" w:rsidRDefault="00E201A5" w:rsidP="005740F6">
      <w:pPr>
        <w:pStyle w:val="ListParagraph"/>
        <w:numPr>
          <w:ilvl w:val="3"/>
          <w:numId w:val="1"/>
        </w:numPr>
      </w:pPr>
      <w:r>
        <w:t>Playability</w:t>
      </w:r>
    </w:p>
    <w:p w:rsidR="00E201A5" w:rsidRDefault="00E201A5" w:rsidP="005740F6">
      <w:pPr>
        <w:pStyle w:val="ListParagraph"/>
        <w:numPr>
          <w:ilvl w:val="3"/>
          <w:numId w:val="1"/>
        </w:numPr>
      </w:pPr>
      <w:r>
        <w:t>Installation art</w:t>
      </w:r>
    </w:p>
    <w:p w:rsidR="00E201A5" w:rsidRDefault="00E201A5" w:rsidP="005740F6">
      <w:pPr>
        <w:pStyle w:val="ListParagraph"/>
        <w:numPr>
          <w:ilvl w:val="3"/>
          <w:numId w:val="1"/>
        </w:numPr>
      </w:pPr>
      <w:r>
        <w:t>Street performances</w:t>
      </w:r>
    </w:p>
    <w:p w:rsidR="00E201A5" w:rsidRDefault="00E201A5" w:rsidP="005740F6">
      <w:pPr>
        <w:pStyle w:val="ListParagraph"/>
        <w:numPr>
          <w:ilvl w:val="3"/>
          <w:numId w:val="1"/>
        </w:numPr>
      </w:pPr>
      <w:r>
        <w:t>Fairs and festivals</w:t>
      </w:r>
    </w:p>
    <w:p w:rsidR="00AA4380" w:rsidRDefault="00AA4380" w:rsidP="005740F6">
      <w:pPr>
        <w:pStyle w:val="ListParagraph"/>
        <w:numPr>
          <w:ilvl w:val="1"/>
          <w:numId w:val="1"/>
        </w:numPr>
      </w:pPr>
      <w:r>
        <w:t>Dealing with our unique topography</w:t>
      </w:r>
    </w:p>
    <w:p w:rsidR="00E201A5" w:rsidRDefault="00E201A5" w:rsidP="005740F6">
      <w:pPr>
        <w:pStyle w:val="ListParagraph"/>
        <w:numPr>
          <w:ilvl w:val="2"/>
          <w:numId w:val="1"/>
        </w:numPr>
      </w:pPr>
      <w:r>
        <w:t>Land use for agriculture and animal husbandry</w:t>
      </w:r>
    </w:p>
    <w:p w:rsidR="00E201A5" w:rsidRDefault="00E201A5" w:rsidP="005740F6">
      <w:pPr>
        <w:pStyle w:val="ListParagraph"/>
        <w:numPr>
          <w:ilvl w:val="2"/>
          <w:numId w:val="1"/>
        </w:numPr>
      </w:pPr>
      <w:r>
        <w:t>Supporting farmer’s markets and access to healthy foods</w:t>
      </w:r>
    </w:p>
    <w:p w:rsidR="00E201A5" w:rsidRDefault="00E201A5" w:rsidP="005740F6">
      <w:pPr>
        <w:pStyle w:val="ListParagraph"/>
        <w:numPr>
          <w:ilvl w:val="2"/>
          <w:numId w:val="1"/>
        </w:numPr>
      </w:pPr>
      <w:r>
        <w:t>Complete streets</w:t>
      </w:r>
    </w:p>
    <w:p w:rsidR="00E201A5" w:rsidRDefault="00E201A5" w:rsidP="005740F6">
      <w:pPr>
        <w:pStyle w:val="ListParagraph"/>
        <w:numPr>
          <w:ilvl w:val="3"/>
          <w:numId w:val="1"/>
        </w:numPr>
      </w:pPr>
      <w:r>
        <w:t>Active Transportation</w:t>
      </w:r>
    </w:p>
    <w:p w:rsidR="00E201A5" w:rsidRDefault="00E201A5" w:rsidP="005740F6">
      <w:pPr>
        <w:pStyle w:val="ListParagraph"/>
        <w:numPr>
          <w:ilvl w:val="3"/>
          <w:numId w:val="1"/>
        </w:numPr>
      </w:pPr>
      <w:r>
        <w:t>Walkability</w:t>
      </w:r>
    </w:p>
    <w:p w:rsidR="00E201A5" w:rsidRDefault="00E201A5" w:rsidP="005740F6">
      <w:pPr>
        <w:pStyle w:val="ListParagraph"/>
        <w:numPr>
          <w:ilvl w:val="3"/>
          <w:numId w:val="1"/>
        </w:numPr>
      </w:pPr>
      <w:proofErr w:type="spellStart"/>
      <w:r>
        <w:t>Bikeability</w:t>
      </w:r>
      <w:proofErr w:type="spellEnd"/>
    </w:p>
    <w:p w:rsidR="00E201A5" w:rsidRDefault="00E201A5" w:rsidP="005740F6">
      <w:pPr>
        <w:pStyle w:val="ListParagraph"/>
        <w:numPr>
          <w:ilvl w:val="2"/>
          <w:numId w:val="1"/>
        </w:numPr>
      </w:pPr>
      <w:r>
        <w:t>Trail connectivity</w:t>
      </w:r>
    </w:p>
    <w:p w:rsidR="00E201A5" w:rsidRDefault="00E201A5" w:rsidP="005740F6">
      <w:pPr>
        <w:pStyle w:val="ListParagraph"/>
        <w:numPr>
          <w:ilvl w:val="2"/>
          <w:numId w:val="1"/>
        </w:numPr>
      </w:pPr>
      <w:r>
        <w:t>Water basins</w:t>
      </w:r>
      <w:r w:rsidR="008D101B">
        <w:t xml:space="preserve"> and water </w:t>
      </w:r>
      <w:bookmarkStart w:id="0" w:name="_GoBack"/>
      <w:bookmarkEnd w:id="0"/>
      <w:r w:rsidR="008D101B">
        <w:t>quality</w:t>
      </w:r>
    </w:p>
    <w:p w:rsidR="00E201A5" w:rsidRDefault="00E201A5" w:rsidP="005740F6">
      <w:pPr>
        <w:pStyle w:val="ListParagraph"/>
        <w:numPr>
          <w:ilvl w:val="2"/>
          <w:numId w:val="1"/>
        </w:numPr>
      </w:pPr>
      <w:r>
        <w:t>Main streets and historic villages</w:t>
      </w:r>
    </w:p>
    <w:p w:rsidR="00AA4380" w:rsidRDefault="00AA4380" w:rsidP="005740F6">
      <w:pPr>
        <w:pStyle w:val="ListParagraph"/>
        <w:numPr>
          <w:ilvl w:val="1"/>
          <w:numId w:val="1"/>
        </w:numPr>
      </w:pPr>
      <w:r>
        <w:lastRenderedPageBreak/>
        <w:t>Considering equity</w:t>
      </w:r>
    </w:p>
    <w:p w:rsidR="00E201A5" w:rsidRDefault="00E201A5" w:rsidP="005740F6">
      <w:pPr>
        <w:pStyle w:val="ListParagraph"/>
        <w:numPr>
          <w:ilvl w:val="2"/>
          <w:numId w:val="1"/>
        </w:numPr>
      </w:pPr>
      <w:r>
        <w:t>Youth, seniors, individuals and families with low resources, dual income families, non-English speakers</w:t>
      </w:r>
    </w:p>
    <w:p w:rsidR="00AA4380" w:rsidRDefault="00AA4380" w:rsidP="005740F6">
      <w:pPr>
        <w:pStyle w:val="ListParagraph"/>
        <w:numPr>
          <w:ilvl w:val="0"/>
          <w:numId w:val="1"/>
        </w:numPr>
        <w:ind w:left="360"/>
      </w:pPr>
      <w:r>
        <w:t>Tools at our disposal</w:t>
      </w:r>
    </w:p>
    <w:p w:rsidR="00AA4380" w:rsidRDefault="00AA4380" w:rsidP="005740F6">
      <w:pPr>
        <w:pStyle w:val="ListParagraph"/>
        <w:numPr>
          <w:ilvl w:val="1"/>
          <w:numId w:val="1"/>
        </w:numPr>
      </w:pPr>
      <w:r>
        <w:t>Policies, agreements, and regulations</w:t>
      </w:r>
    </w:p>
    <w:p w:rsidR="00AA4380" w:rsidRDefault="00AA4380" w:rsidP="005740F6">
      <w:pPr>
        <w:pStyle w:val="ListParagraph"/>
        <w:numPr>
          <w:ilvl w:val="2"/>
          <w:numId w:val="1"/>
        </w:numPr>
      </w:pPr>
      <w:r>
        <w:t>Health in all policies</w:t>
      </w:r>
    </w:p>
    <w:p w:rsidR="00AA4380" w:rsidRDefault="00AA4380" w:rsidP="005740F6">
      <w:pPr>
        <w:pStyle w:val="ListParagraph"/>
        <w:numPr>
          <w:ilvl w:val="3"/>
          <w:numId w:val="1"/>
        </w:numPr>
      </w:pPr>
      <w:r>
        <w:t>Health impact assessments</w:t>
      </w:r>
    </w:p>
    <w:p w:rsidR="00AA4380" w:rsidRDefault="00AA4380" w:rsidP="005740F6">
      <w:pPr>
        <w:pStyle w:val="ListParagraph"/>
        <w:numPr>
          <w:ilvl w:val="2"/>
          <w:numId w:val="1"/>
        </w:numPr>
      </w:pPr>
      <w:r>
        <w:t>Joint Use Agreements</w:t>
      </w:r>
    </w:p>
    <w:p w:rsidR="00AA4380" w:rsidRDefault="00AA4380" w:rsidP="005740F6">
      <w:pPr>
        <w:pStyle w:val="ListParagraph"/>
        <w:numPr>
          <w:ilvl w:val="2"/>
          <w:numId w:val="1"/>
        </w:numPr>
      </w:pPr>
      <w:r>
        <w:t>Tobacco-Free environments</w:t>
      </w:r>
    </w:p>
    <w:p w:rsidR="00AA4380" w:rsidRDefault="00AA4380" w:rsidP="005740F6">
      <w:pPr>
        <w:pStyle w:val="ListParagraph"/>
        <w:numPr>
          <w:ilvl w:val="2"/>
          <w:numId w:val="1"/>
        </w:numPr>
      </w:pPr>
      <w:r>
        <w:t>Complete Streets policies</w:t>
      </w:r>
    </w:p>
    <w:p w:rsidR="00E201A5" w:rsidRDefault="00E201A5" w:rsidP="005740F6">
      <w:pPr>
        <w:pStyle w:val="ListParagraph"/>
        <w:numPr>
          <w:ilvl w:val="3"/>
          <w:numId w:val="1"/>
        </w:numPr>
      </w:pPr>
      <w:r>
        <w:t>Multi-modal transportation</w:t>
      </w:r>
    </w:p>
    <w:p w:rsidR="00E201A5" w:rsidRDefault="00E201A5" w:rsidP="005740F6">
      <w:pPr>
        <w:pStyle w:val="ListParagraph"/>
        <w:numPr>
          <w:ilvl w:val="3"/>
          <w:numId w:val="1"/>
        </w:numPr>
      </w:pPr>
      <w:r>
        <w:t>Sidewalks</w:t>
      </w:r>
    </w:p>
    <w:p w:rsidR="00E201A5" w:rsidRDefault="00E201A5" w:rsidP="005740F6">
      <w:pPr>
        <w:pStyle w:val="ListParagraph"/>
        <w:numPr>
          <w:ilvl w:val="3"/>
          <w:numId w:val="1"/>
        </w:numPr>
      </w:pPr>
      <w:r>
        <w:t>Bike lanes</w:t>
      </w:r>
    </w:p>
    <w:p w:rsidR="00E201A5" w:rsidRDefault="00E201A5" w:rsidP="005740F6">
      <w:pPr>
        <w:pStyle w:val="ListParagraph"/>
        <w:numPr>
          <w:ilvl w:val="3"/>
          <w:numId w:val="1"/>
        </w:numPr>
      </w:pPr>
      <w:r>
        <w:t>Public transportation</w:t>
      </w:r>
    </w:p>
    <w:p w:rsidR="00E201A5" w:rsidRDefault="00E201A5" w:rsidP="005740F6">
      <w:pPr>
        <w:pStyle w:val="ListParagraph"/>
        <w:numPr>
          <w:ilvl w:val="2"/>
          <w:numId w:val="1"/>
        </w:numPr>
      </w:pPr>
      <w:r>
        <w:t>Traffic calming measures</w:t>
      </w:r>
    </w:p>
    <w:p w:rsidR="00AA4380" w:rsidRDefault="00AA4380" w:rsidP="005740F6">
      <w:pPr>
        <w:pStyle w:val="ListParagraph"/>
        <w:numPr>
          <w:ilvl w:val="1"/>
          <w:numId w:val="1"/>
        </w:numPr>
      </w:pPr>
      <w:r>
        <w:t>Funding Streams</w:t>
      </w:r>
    </w:p>
    <w:p w:rsidR="00E201A5" w:rsidRDefault="00E201A5" w:rsidP="005740F6">
      <w:pPr>
        <w:pStyle w:val="ListParagraph"/>
        <w:numPr>
          <w:ilvl w:val="2"/>
          <w:numId w:val="1"/>
        </w:numPr>
      </w:pPr>
      <w:r>
        <w:t>Town’s Capital Improvement Fund</w:t>
      </w:r>
    </w:p>
    <w:p w:rsidR="00E201A5" w:rsidRDefault="00E201A5" w:rsidP="005740F6">
      <w:pPr>
        <w:pStyle w:val="ListParagraph"/>
        <w:numPr>
          <w:ilvl w:val="2"/>
          <w:numId w:val="1"/>
        </w:numPr>
      </w:pPr>
      <w:r>
        <w:t>United States Department of Transportation (DOT)</w:t>
      </w:r>
      <w:r>
        <w:tab/>
      </w:r>
    </w:p>
    <w:p w:rsidR="00E201A5" w:rsidRDefault="00E201A5" w:rsidP="005740F6">
      <w:pPr>
        <w:pStyle w:val="ListParagraph"/>
        <w:numPr>
          <w:ilvl w:val="2"/>
          <w:numId w:val="1"/>
        </w:numPr>
      </w:pPr>
      <w:r>
        <w:t>United States Environ</w:t>
      </w:r>
      <w:r>
        <w:t>mental Protection Agency (EPA)</w:t>
      </w:r>
      <w:r>
        <w:tab/>
      </w:r>
    </w:p>
    <w:p w:rsidR="00E201A5" w:rsidRDefault="00E201A5" w:rsidP="005740F6">
      <w:pPr>
        <w:pStyle w:val="ListParagraph"/>
        <w:numPr>
          <w:ilvl w:val="2"/>
          <w:numId w:val="1"/>
        </w:numPr>
      </w:pPr>
      <w:r>
        <w:t>Partnership for Sustainable Communities</w:t>
      </w:r>
    </w:p>
    <w:p w:rsidR="00E201A5" w:rsidRDefault="00445C37" w:rsidP="005740F6">
      <w:pPr>
        <w:pStyle w:val="ListParagraph"/>
        <w:numPr>
          <w:ilvl w:val="2"/>
          <w:numId w:val="1"/>
        </w:numPr>
      </w:pPr>
      <w:r>
        <w:t>(More to</w:t>
      </w:r>
      <w:r w:rsidR="00E201A5">
        <w:t xml:space="preserve"> be added)</w:t>
      </w:r>
    </w:p>
    <w:p w:rsidR="00AA4380" w:rsidRDefault="00445C37" w:rsidP="005740F6">
      <w:pPr>
        <w:pStyle w:val="ListParagraph"/>
        <w:numPr>
          <w:ilvl w:val="1"/>
          <w:numId w:val="1"/>
        </w:numPr>
      </w:pPr>
      <w:r>
        <w:t xml:space="preserve">When finding funding is a challenge: </w:t>
      </w:r>
      <w:r w:rsidR="00AA4380">
        <w:t>Lighter, Quicker, Cheaper</w:t>
      </w:r>
      <w:r>
        <w:t xml:space="preserve">, and Healthier (LQCH) approaches to </w:t>
      </w:r>
      <w:proofErr w:type="spellStart"/>
      <w:r>
        <w:t>p</w:t>
      </w:r>
      <w:r w:rsidR="00AA4380">
        <w:t>lacemaking</w:t>
      </w:r>
      <w:proofErr w:type="spellEnd"/>
    </w:p>
    <w:p w:rsidR="00445C37" w:rsidRDefault="00445C37" w:rsidP="005740F6">
      <w:pPr>
        <w:pStyle w:val="ListParagraph"/>
        <w:numPr>
          <w:ilvl w:val="1"/>
          <w:numId w:val="1"/>
        </w:numPr>
      </w:pPr>
      <w:r>
        <w:t>Partners</w:t>
      </w:r>
    </w:p>
    <w:p w:rsidR="00AA4380" w:rsidRDefault="00AA4380" w:rsidP="005740F6">
      <w:pPr>
        <w:pStyle w:val="ListParagraph"/>
        <w:numPr>
          <w:ilvl w:val="2"/>
          <w:numId w:val="1"/>
        </w:numPr>
      </w:pPr>
      <w:r>
        <w:t xml:space="preserve">Local </w:t>
      </w:r>
    </w:p>
    <w:p w:rsidR="00AA4380" w:rsidRDefault="00AA4380" w:rsidP="005740F6">
      <w:pPr>
        <w:pStyle w:val="ListParagraph"/>
        <w:numPr>
          <w:ilvl w:val="2"/>
          <w:numId w:val="1"/>
        </w:numPr>
      </w:pPr>
      <w:r>
        <w:t xml:space="preserve">State </w:t>
      </w:r>
    </w:p>
    <w:p w:rsidR="005740F6" w:rsidRDefault="00AA4380" w:rsidP="005740F6">
      <w:pPr>
        <w:pStyle w:val="ListParagraph"/>
        <w:numPr>
          <w:ilvl w:val="2"/>
          <w:numId w:val="1"/>
        </w:numPr>
      </w:pPr>
      <w:r>
        <w:t xml:space="preserve">Federal </w:t>
      </w:r>
    </w:p>
    <w:p w:rsidR="00AA4380" w:rsidRDefault="00AA4380" w:rsidP="005740F6">
      <w:pPr>
        <w:pStyle w:val="ListParagraph"/>
        <w:numPr>
          <w:ilvl w:val="1"/>
          <w:numId w:val="1"/>
        </w:numPr>
      </w:pPr>
      <w:r>
        <w:t xml:space="preserve">Additional </w:t>
      </w:r>
      <w:r w:rsidR="00E201A5">
        <w:t xml:space="preserve">Organizations and </w:t>
      </w:r>
      <w:r>
        <w:t>Resources</w:t>
      </w:r>
    </w:p>
    <w:p w:rsidR="00E201A5" w:rsidRDefault="00E201A5" w:rsidP="005740F6">
      <w:pPr>
        <w:pStyle w:val="ListParagraph"/>
        <w:numPr>
          <w:ilvl w:val="1"/>
          <w:numId w:val="1"/>
        </w:numPr>
      </w:pPr>
      <w:r>
        <w:t>Sample policies and regulations</w:t>
      </w:r>
    </w:p>
    <w:p w:rsidR="00E201A5" w:rsidRDefault="00E201A5" w:rsidP="005740F6">
      <w:pPr>
        <w:pStyle w:val="ListParagraph"/>
        <w:numPr>
          <w:ilvl w:val="1"/>
          <w:numId w:val="1"/>
        </w:numPr>
      </w:pPr>
      <w:r>
        <w:t>Sample tools and assessments</w:t>
      </w:r>
    </w:p>
    <w:p w:rsidR="00E201A5" w:rsidRDefault="00E201A5" w:rsidP="005740F6">
      <w:pPr>
        <w:pStyle w:val="ListParagraph"/>
        <w:numPr>
          <w:ilvl w:val="2"/>
          <w:numId w:val="1"/>
        </w:numPr>
      </w:pPr>
      <w:r>
        <w:t>Active Transportation Audit</w:t>
      </w:r>
      <w:r w:rsidR="00D30683">
        <w:t xml:space="preserve"> (developed by CRCOG)</w:t>
      </w:r>
    </w:p>
    <w:p w:rsidR="00445C37" w:rsidRDefault="00445C37" w:rsidP="005740F6">
      <w:pPr>
        <w:pStyle w:val="ListParagraph"/>
        <w:numPr>
          <w:ilvl w:val="2"/>
          <w:numId w:val="1"/>
        </w:numPr>
      </w:pPr>
      <w:r>
        <w:t>(more to be added here)</w:t>
      </w:r>
    </w:p>
    <w:p w:rsidR="00E201A5" w:rsidRDefault="00E201A5" w:rsidP="005740F6">
      <w:pPr>
        <w:pStyle w:val="ListParagraph"/>
        <w:numPr>
          <w:ilvl w:val="0"/>
          <w:numId w:val="1"/>
        </w:numPr>
        <w:ind w:left="360"/>
      </w:pPr>
      <w:r>
        <w:t>Glossary</w:t>
      </w:r>
    </w:p>
    <w:p w:rsidR="005740F6" w:rsidRDefault="005740F6" w:rsidP="005740F6">
      <w:pPr>
        <w:pStyle w:val="ListParagraph"/>
        <w:numPr>
          <w:ilvl w:val="1"/>
          <w:numId w:val="1"/>
        </w:numPr>
      </w:pPr>
      <w:r>
        <w:t>(terms contained in the glossary will be visually and easily identified throughout the toolkit through bolding, color coding, or symbols)</w:t>
      </w:r>
    </w:p>
    <w:p w:rsidR="005740F6" w:rsidRDefault="005740F6" w:rsidP="005740F6">
      <w:pPr>
        <w:pStyle w:val="ListParagraph"/>
        <w:numPr>
          <w:ilvl w:val="0"/>
          <w:numId w:val="1"/>
        </w:numPr>
        <w:ind w:left="360"/>
      </w:pPr>
      <w:r>
        <w:t>How can I learn more?</w:t>
      </w:r>
    </w:p>
    <w:p w:rsidR="005740F6" w:rsidRDefault="005740F6" w:rsidP="005740F6">
      <w:pPr>
        <w:pStyle w:val="ListParagraph"/>
        <w:numPr>
          <w:ilvl w:val="1"/>
          <w:numId w:val="1"/>
        </w:numPr>
      </w:pPr>
      <w:r>
        <w:t>Comprehensive list of resources presented throughout the toolkit</w:t>
      </w:r>
    </w:p>
    <w:p w:rsidR="00445C37" w:rsidRDefault="00445C37" w:rsidP="005740F6">
      <w:pPr>
        <w:pStyle w:val="ListParagraph"/>
        <w:numPr>
          <w:ilvl w:val="0"/>
          <w:numId w:val="1"/>
        </w:numPr>
        <w:ind w:left="360"/>
      </w:pPr>
      <w:r>
        <w:t>Blank Notes pages</w:t>
      </w:r>
    </w:p>
    <w:p w:rsidR="00445C37" w:rsidRDefault="00445C37" w:rsidP="005740F6">
      <w:pPr>
        <w:pStyle w:val="ListParagraph"/>
        <w:numPr>
          <w:ilvl w:val="0"/>
          <w:numId w:val="1"/>
        </w:numPr>
        <w:ind w:left="360"/>
      </w:pPr>
      <w:r>
        <w:t>Back Cover</w:t>
      </w:r>
    </w:p>
    <w:p w:rsidR="005740F6" w:rsidRDefault="005740F6" w:rsidP="005740F6">
      <w:pPr>
        <w:pStyle w:val="ListParagraph"/>
        <w:ind w:left="360"/>
      </w:pPr>
    </w:p>
    <w:p w:rsidR="005740F6" w:rsidRDefault="005740F6" w:rsidP="002C4975">
      <w:pPr>
        <w:pStyle w:val="ListParagraph"/>
        <w:ind w:left="0"/>
      </w:pPr>
      <w:r>
        <w:t>*Photos, illustrations, and brief relevant examples from similar communities will be interspersed throughout the toolkit. Hyperlinks will also be included throughout the toolkit as needed.</w:t>
      </w:r>
      <w:r w:rsidR="002C4975">
        <w:t xml:space="preserve"> Once we have the content written, we will work with designers to identify best ways to publish this resource in hard and electronic/interactive formats.</w:t>
      </w:r>
    </w:p>
    <w:p w:rsidR="00D62880" w:rsidRDefault="00D62880" w:rsidP="005740F6">
      <w:pPr>
        <w:ind w:left="360"/>
      </w:pPr>
    </w:p>
    <w:sectPr w:rsidR="00D62880" w:rsidSect="002C4975">
      <w:type w:val="continuous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298"/>
    <w:multiLevelType w:val="hybridMultilevel"/>
    <w:tmpl w:val="7CAE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80"/>
    <w:rsid w:val="002C4975"/>
    <w:rsid w:val="00445C37"/>
    <w:rsid w:val="005740F6"/>
    <w:rsid w:val="008D101B"/>
    <w:rsid w:val="00AA4380"/>
    <w:rsid w:val="00D30683"/>
    <w:rsid w:val="00D62880"/>
    <w:rsid w:val="00E2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Jordana Frost</dc:creator>
  <cp:lastModifiedBy>Jordana Frost</cp:lastModifiedBy>
  <cp:revision>4</cp:revision>
  <dcterms:created xsi:type="dcterms:W3CDTF">2015-06-17T17:42:00Z</dcterms:created>
  <dcterms:modified xsi:type="dcterms:W3CDTF">2015-06-17T18:32:00Z</dcterms:modified>
</cp:coreProperties>
</file>